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C6872" w14:textId="17CA06E4" w:rsidR="0074300E" w:rsidRPr="00224A93" w:rsidRDefault="0074300E" w:rsidP="0074300E">
      <w:pPr>
        <w:spacing w:after="0"/>
        <w:rPr>
          <w:rFonts w:ascii="FolioTCE-Med" w:eastAsia="Times New Roman" w:hAnsi="FolioTCE-Med"/>
          <w:sz w:val="60"/>
          <w:szCs w:val="60"/>
          <w:lang w:eastAsia="sk-SK"/>
        </w:rPr>
      </w:pPr>
      <w:r w:rsidRPr="002D1647">
        <w:rPr>
          <w:rFonts w:ascii="FolioTCE-Med" w:eastAsia="Times New Roman" w:hAnsi="FolioTCE-Med"/>
          <w:sz w:val="60"/>
          <w:szCs w:val="60"/>
          <w:lang w:eastAsia="sk-SK"/>
        </w:rPr>
        <w:t xml:space="preserve">Granit </w:t>
      </w:r>
      <w:r w:rsidR="00BF0FA3">
        <w:rPr>
          <w:rFonts w:ascii="FolioTCE-Med" w:eastAsia="Times New Roman" w:hAnsi="FolioTCE-Med"/>
          <w:sz w:val="60"/>
          <w:szCs w:val="60"/>
          <w:lang w:eastAsia="sk-SK"/>
        </w:rPr>
        <w:t>+</w:t>
      </w:r>
    </w:p>
    <w:p w14:paraId="290FD620" w14:textId="77777777" w:rsidR="0074300E" w:rsidRDefault="0074300E" w:rsidP="007430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AcciusTCE-RegNar" w:hAnsi="AcciusTCE-RegNar"/>
          <w:color w:val="DA0000"/>
          <w:sz w:val="34"/>
          <w:szCs w:val="34"/>
        </w:rPr>
        <w:t>Charakteristika</w:t>
      </w:r>
    </w:p>
    <w:p w14:paraId="5F965500" w14:textId="5AA5570D" w:rsidR="0074300E" w:rsidRPr="002D1647" w:rsidRDefault="0074300E" w:rsidP="0074300E">
      <w:pPr>
        <w:spacing w:after="0"/>
        <w:rPr>
          <w:rFonts w:ascii="AcciusTCE-RegNar" w:eastAsia="Times New Roman" w:hAnsi="AcciusTCE-RegNar"/>
          <w:lang w:eastAsia="sk-SK"/>
        </w:rPr>
      </w:pPr>
      <w:r w:rsidRPr="002D1647">
        <w:rPr>
          <w:rFonts w:ascii="AcciusTCE-RegNar" w:eastAsia="Times New Roman" w:hAnsi="AcciusTCE-RegNar"/>
          <w:lang w:eastAsia="sk-SK"/>
        </w:rPr>
        <w:t xml:space="preserve">Lak na kameň je vysoko kvalitný bezfarebný lak vhodný na ošetrenie prírodného (žula, bridlica, vápenec, ...) a umelého kameňa alebo taktiež na umelé stavebné materiály ako tehly, betón, dekoratívne sadrové doplnky, atď. Na povrchu vytvára hladkú lesklú </w:t>
      </w:r>
      <w:r w:rsidR="000B601E">
        <w:rPr>
          <w:rFonts w:ascii="AcciusTCE-RegNar" w:eastAsia="Times New Roman" w:hAnsi="AcciusTCE-RegNar"/>
          <w:lang w:eastAsia="sk-SK"/>
        </w:rPr>
        <w:t>alebo matnú v</w:t>
      </w:r>
      <w:r w:rsidRPr="002D1647">
        <w:rPr>
          <w:rFonts w:ascii="AcciusTCE-RegNar" w:eastAsia="Times New Roman" w:hAnsi="AcciusTCE-RegNar"/>
          <w:lang w:eastAsia="sk-SK"/>
        </w:rPr>
        <w:t xml:space="preserve">rstvu, ktorá zabezpečuje dlhodobú ochranu pred nepriaznivými poveternostnými vplyvmi. Vytvára mokrý </w:t>
      </w:r>
      <w:r w:rsidR="000B601E">
        <w:rPr>
          <w:rFonts w:ascii="AcciusTCE-RegNar" w:eastAsia="Times New Roman" w:hAnsi="AcciusTCE-RegNar"/>
          <w:lang w:eastAsia="sk-SK"/>
        </w:rPr>
        <w:t>vzhľad.</w:t>
      </w:r>
      <w:r w:rsidRPr="002D1647">
        <w:rPr>
          <w:rFonts w:ascii="AcciusTCE-RegNar" w:eastAsia="Times New Roman" w:hAnsi="AcciusTCE-RegNar"/>
          <w:lang w:eastAsia="sk-SK"/>
        </w:rPr>
        <w:t xml:space="preserve"> Obsahuje UV filter.</w:t>
      </w:r>
    </w:p>
    <w:p w14:paraId="2547D6DD" w14:textId="77777777" w:rsidR="0074300E" w:rsidRPr="00A84D1F" w:rsidRDefault="0074300E" w:rsidP="00743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4F42">
        <w:rPr>
          <w:rFonts w:ascii="AcciusTCE-RegNar" w:eastAsia="Times New Roman" w:hAnsi="AcciusTCE-RegNar"/>
          <w:color w:val="DA0000"/>
          <w:sz w:val="34"/>
          <w:szCs w:val="34"/>
          <w:lang w:eastAsia="sk-SK"/>
        </w:rPr>
        <w:t>Použitie</w:t>
      </w:r>
    </w:p>
    <w:p w14:paraId="500AAB69" w14:textId="77777777" w:rsidR="0074300E" w:rsidRPr="002D1647" w:rsidRDefault="0074300E" w:rsidP="0074300E">
      <w:pPr>
        <w:spacing w:after="0"/>
        <w:rPr>
          <w:rFonts w:ascii="AcciusTCE-RegNar" w:eastAsia="Times New Roman" w:hAnsi="AcciusTCE-RegNar"/>
          <w:lang w:eastAsia="sk-SK"/>
        </w:rPr>
      </w:pPr>
      <w:r w:rsidRPr="002D1647">
        <w:rPr>
          <w:rFonts w:ascii="AcciusTCE-RegNar" w:eastAsia="Times New Roman" w:hAnsi="AcciusTCE-RegNar"/>
          <w:lang w:eastAsia="sk-SK"/>
        </w:rPr>
        <w:t>Granit – lak na kameň sa používa na vnútorné a vonkajšie nátery prírodného a umelého kameňa.</w:t>
      </w:r>
    </w:p>
    <w:p w14:paraId="445EADCA" w14:textId="77777777" w:rsidR="0074300E" w:rsidRPr="00414F42" w:rsidRDefault="0074300E" w:rsidP="0074300E">
      <w:pPr>
        <w:spacing w:after="0"/>
        <w:rPr>
          <w:rFonts w:ascii="AcciusTCE-RegNar" w:eastAsia="Times New Roman" w:hAnsi="AcciusTCE-RegNar"/>
          <w:color w:val="DA0000"/>
          <w:sz w:val="34"/>
          <w:szCs w:val="34"/>
          <w:lang w:eastAsia="sk-SK"/>
        </w:rPr>
      </w:pPr>
      <w:r w:rsidRPr="00414F42">
        <w:rPr>
          <w:rFonts w:ascii="AcciusTCE-RegNar" w:eastAsia="Times New Roman" w:hAnsi="AcciusTCE-RegNar"/>
          <w:color w:val="DA0000"/>
          <w:sz w:val="34"/>
          <w:szCs w:val="34"/>
          <w:lang w:eastAsia="sk-SK"/>
        </w:rPr>
        <w:t>Návod na použitie</w:t>
      </w:r>
    </w:p>
    <w:p w14:paraId="7F3E05A1" w14:textId="04A7E831" w:rsidR="0074300E" w:rsidRPr="002D1647" w:rsidRDefault="0074300E" w:rsidP="0074300E">
      <w:pPr>
        <w:spacing w:after="0"/>
        <w:rPr>
          <w:rFonts w:ascii="AcciusTCE-RegNar" w:eastAsia="Times New Roman" w:hAnsi="AcciusTCE-RegNar"/>
          <w:lang w:eastAsia="sk-SK"/>
        </w:rPr>
      </w:pPr>
      <w:r w:rsidRPr="002D1647">
        <w:rPr>
          <w:rFonts w:ascii="AcciusTCE-RegNar" w:eastAsia="Times New Roman" w:hAnsi="AcciusTCE-RegNar"/>
          <w:lang w:eastAsia="sk-SK"/>
        </w:rPr>
        <w:t xml:space="preserve">Všetky podklady musia byť čisté, suché, obrúsené a odmastené. Pred použitím obsah obalu dôkladne rozmiešajte. Nanáša sa v dvoch alebo viacerých vrstvách v závislosti od nasiakavosti podkladu a pôsobenia poveternostných podmienok. Ďalšiu vrstvu odporúčame naniesť po </w:t>
      </w:r>
      <w:r w:rsidR="00C862C7">
        <w:rPr>
          <w:rFonts w:ascii="AcciusTCE-RegNar" w:eastAsia="Times New Roman" w:hAnsi="AcciusTCE-RegNar"/>
          <w:lang w:eastAsia="sk-SK"/>
        </w:rPr>
        <w:t>4</w:t>
      </w:r>
      <w:r w:rsidRPr="002D1647">
        <w:rPr>
          <w:rFonts w:ascii="AcciusTCE-RegNar" w:eastAsia="Times New Roman" w:hAnsi="AcciusTCE-RegNar"/>
          <w:lang w:eastAsia="sk-SK"/>
        </w:rPr>
        <w:t xml:space="preserve"> hodinách. Nízka teplota a vysoká relatívna vlhkosť spomaľujú zasychanie. Teplota podkladu a prostredia nesmie klesnúť pod +</w:t>
      </w:r>
      <w:r w:rsidR="000B601E">
        <w:rPr>
          <w:rFonts w:ascii="AcciusTCE-RegNar" w:eastAsia="Times New Roman" w:hAnsi="AcciusTCE-RegNar"/>
          <w:lang w:eastAsia="sk-SK"/>
        </w:rPr>
        <w:t>5</w:t>
      </w:r>
      <w:r w:rsidRPr="002D1647">
        <w:rPr>
          <w:rFonts w:ascii="AcciusTCE-RegNar" w:eastAsia="Times New Roman" w:hAnsi="AcciusTCE-RegNar"/>
          <w:lang w:eastAsia="sk-SK"/>
        </w:rPr>
        <w:t xml:space="preserve"> °C.</w:t>
      </w:r>
    </w:p>
    <w:p w14:paraId="096AFD3C" w14:textId="3A76CF17" w:rsidR="0074300E" w:rsidRPr="002D1647" w:rsidRDefault="0074300E" w:rsidP="0074300E">
      <w:pPr>
        <w:spacing w:after="0"/>
        <w:rPr>
          <w:rFonts w:ascii="AcciusTCE-RegNar" w:eastAsia="Times New Roman" w:hAnsi="AcciusTCE-RegNar"/>
          <w:lang w:eastAsia="sk-SK"/>
        </w:rPr>
      </w:pPr>
      <w:r w:rsidRPr="002D1647">
        <w:rPr>
          <w:rFonts w:ascii="AcciusTCE-RegNar" w:eastAsia="Times New Roman" w:hAnsi="AcciusTCE-RegNar"/>
          <w:lang w:eastAsia="sk-SK"/>
        </w:rPr>
        <w:t xml:space="preserve">Pracovné pomôcky a náradie odporúčame očistiť riedidlom </w:t>
      </w:r>
      <w:r w:rsidR="008E7C5A">
        <w:rPr>
          <w:rFonts w:ascii="AcciusTCE-RegNar" w:eastAsia="Times New Roman" w:hAnsi="AcciusTCE-RegNar"/>
          <w:lang w:eastAsia="sk-SK"/>
        </w:rPr>
        <w:t>C 6000</w:t>
      </w:r>
      <w:r w:rsidRPr="002D1647">
        <w:rPr>
          <w:rFonts w:ascii="AcciusTCE-RegNar" w:eastAsia="Times New Roman" w:hAnsi="AcciusTCE-RegNar"/>
          <w:lang w:eastAsia="sk-SK"/>
        </w:rPr>
        <w:t>.</w:t>
      </w:r>
    </w:p>
    <w:p w14:paraId="68819121" w14:textId="77777777" w:rsidR="0074300E" w:rsidRPr="00414F42" w:rsidRDefault="0074300E" w:rsidP="0074300E">
      <w:pPr>
        <w:spacing w:after="0"/>
        <w:rPr>
          <w:rFonts w:ascii="AcciusTCE-RegNar" w:eastAsia="Times New Roman" w:hAnsi="AcciusTCE-RegNar"/>
          <w:color w:val="DA0000"/>
          <w:sz w:val="34"/>
          <w:szCs w:val="34"/>
          <w:lang w:eastAsia="sk-SK"/>
        </w:rPr>
      </w:pPr>
      <w:r w:rsidRPr="00414F42">
        <w:rPr>
          <w:rFonts w:ascii="AcciusTCE-RegNar" w:eastAsia="Times New Roman" w:hAnsi="AcciusTCE-RegNar"/>
          <w:color w:val="DA0000"/>
          <w:sz w:val="34"/>
          <w:szCs w:val="34"/>
          <w:lang w:eastAsia="sk-SK"/>
        </w:rPr>
        <w:t>Nanášanie</w:t>
      </w:r>
    </w:p>
    <w:p w14:paraId="4DA990E1" w14:textId="77777777" w:rsidR="0074300E" w:rsidRPr="002D1647" w:rsidRDefault="0074300E" w:rsidP="0074300E">
      <w:pPr>
        <w:spacing w:after="0"/>
        <w:rPr>
          <w:rFonts w:ascii="AcciusTCE-RegNar" w:eastAsia="Times New Roman" w:hAnsi="AcciusTCE-RegNar"/>
          <w:lang w:eastAsia="sk-SK"/>
        </w:rPr>
      </w:pPr>
      <w:r w:rsidRPr="002D1647">
        <w:rPr>
          <w:rFonts w:ascii="AcciusTCE-RegNar" w:eastAsia="Times New Roman" w:hAnsi="AcciusTCE-RegNar"/>
          <w:lang w:eastAsia="sk-SK"/>
        </w:rPr>
        <w:t>štetcom, valčekom, striekaním</w:t>
      </w:r>
    </w:p>
    <w:p w14:paraId="7D27E52C" w14:textId="77777777" w:rsidR="0074300E" w:rsidRPr="00414F42" w:rsidRDefault="0074300E" w:rsidP="0074300E">
      <w:pPr>
        <w:spacing w:after="0"/>
        <w:rPr>
          <w:rFonts w:ascii="AcciusTCE-RegNar" w:eastAsia="Times New Roman" w:hAnsi="AcciusTCE-RegNar"/>
          <w:color w:val="DA0000"/>
          <w:sz w:val="34"/>
          <w:szCs w:val="34"/>
          <w:lang w:eastAsia="sk-SK"/>
        </w:rPr>
      </w:pPr>
      <w:r w:rsidRPr="00414F42">
        <w:rPr>
          <w:rFonts w:ascii="AcciusTCE-RegNar" w:eastAsia="Times New Roman" w:hAnsi="AcciusTCE-RegNar"/>
          <w:color w:val="DA0000"/>
          <w:sz w:val="34"/>
          <w:szCs w:val="34"/>
          <w:lang w:eastAsia="sk-SK"/>
        </w:rPr>
        <w:t>Výdatnosť</w:t>
      </w:r>
    </w:p>
    <w:p w14:paraId="7E8FB63A" w14:textId="77777777" w:rsidR="0074300E" w:rsidRPr="002D1647" w:rsidRDefault="0074300E" w:rsidP="0074300E">
      <w:pPr>
        <w:spacing w:after="0"/>
        <w:rPr>
          <w:rFonts w:ascii="AcciusTCE-RegNar" w:eastAsia="Times New Roman" w:hAnsi="AcciusTCE-RegNar"/>
          <w:lang w:eastAsia="sk-SK"/>
        </w:rPr>
      </w:pPr>
      <w:r w:rsidRPr="002D1647">
        <w:rPr>
          <w:rFonts w:ascii="AcciusTCE-RegNar" w:eastAsia="Times New Roman" w:hAnsi="AcciusTCE-RegNar"/>
          <w:lang w:eastAsia="sk-SK"/>
        </w:rPr>
        <w:t>10 až 13 m</w:t>
      </w:r>
      <w:r w:rsidRPr="002D1647">
        <w:rPr>
          <w:rFonts w:ascii="AcciusTCE-RegNar" w:eastAsia="Times New Roman" w:hAnsi="AcciusTCE-RegNar"/>
          <w:vertAlign w:val="superscript"/>
          <w:lang w:eastAsia="sk-SK"/>
        </w:rPr>
        <w:t>2</w:t>
      </w:r>
      <w:r>
        <w:rPr>
          <w:rFonts w:ascii="AcciusTCE-RegNar" w:eastAsia="Times New Roman" w:hAnsi="AcciusTCE-RegNar"/>
          <w:lang w:eastAsia="sk-SK"/>
        </w:rPr>
        <w:t>/l</w:t>
      </w:r>
      <w:r w:rsidRPr="002D1647">
        <w:rPr>
          <w:rFonts w:ascii="AcciusTCE-RegNar" w:eastAsia="Times New Roman" w:hAnsi="AcciusTCE-RegNar"/>
          <w:lang w:eastAsia="sk-SK"/>
        </w:rPr>
        <w:t xml:space="preserve"> </w:t>
      </w:r>
    </w:p>
    <w:p w14:paraId="6A4EC8FA" w14:textId="77777777" w:rsidR="0074300E" w:rsidRPr="00414F42" w:rsidRDefault="0074300E" w:rsidP="0074300E">
      <w:pPr>
        <w:spacing w:after="0"/>
        <w:rPr>
          <w:rFonts w:ascii="AcciusTCE-RegNar" w:eastAsia="Times New Roman" w:hAnsi="AcciusTCE-RegNar"/>
          <w:color w:val="DA0000"/>
          <w:sz w:val="34"/>
          <w:szCs w:val="34"/>
          <w:lang w:eastAsia="sk-SK"/>
        </w:rPr>
      </w:pPr>
      <w:r w:rsidRPr="00414F42">
        <w:rPr>
          <w:rFonts w:ascii="AcciusTCE-RegNar" w:eastAsia="Times New Roman" w:hAnsi="AcciusTCE-RegNar"/>
          <w:color w:val="DA0000"/>
          <w:sz w:val="34"/>
          <w:szCs w:val="34"/>
          <w:lang w:eastAsia="sk-SK"/>
        </w:rPr>
        <w:t>Zasychanie</w:t>
      </w:r>
    </w:p>
    <w:p w14:paraId="6B810D0A" w14:textId="67D41052" w:rsidR="0074300E" w:rsidRPr="002D1647" w:rsidRDefault="000B601E" w:rsidP="0074300E">
      <w:pPr>
        <w:spacing w:after="0"/>
        <w:rPr>
          <w:rFonts w:ascii="AcciusTCE-RegNar" w:eastAsia="Times New Roman" w:hAnsi="AcciusTCE-RegNar"/>
          <w:lang w:eastAsia="sk-SK"/>
        </w:rPr>
      </w:pPr>
      <w:r>
        <w:rPr>
          <w:rFonts w:ascii="AcciusTCE-RegNar" w:eastAsia="Times New Roman" w:hAnsi="AcciusTCE-RegNar"/>
          <w:lang w:eastAsia="sk-SK"/>
        </w:rPr>
        <w:t xml:space="preserve">Do 4 </w:t>
      </w:r>
      <w:r w:rsidR="0074300E" w:rsidRPr="002D1647">
        <w:rPr>
          <w:rFonts w:ascii="AcciusTCE-RegNar" w:eastAsia="Times New Roman" w:hAnsi="AcciusTCE-RegNar"/>
          <w:lang w:eastAsia="sk-SK"/>
        </w:rPr>
        <w:t xml:space="preserve"> hodín</w:t>
      </w:r>
      <w:r w:rsidR="0074300E">
        <w:rPr>
          <w:rFonts w:ascii="AcciusTCE-RegNar" w:eastAsia="Times New Roman" w:hAnsi="AcciusTCE-RegNar"/>
          <w:lang w:eastAsia="sk-SK"/>
        </w:rPr>
        <w:t xml:space="preserve"> pri teplote 2</w:t>
      </w:r>
      <w:r w:rsidR="008E7C5A">
        <w:rPr>
          <w:rFonts w:ascii="AcciusTCE-RegNar" w:eastAsia="Times New Roman" w:hAnsi="AcciusTCE-RegNar"/>
          <w:lang w:eastAsia="sk-SK"/>
        </w:rPr>
        <w:t>3</w:t>
      </w:r>
      <w:r w:rsidR="0074300E">
        <w:rPr>
          <w:rFonts w:ascii="AcciusTCE-RegNar" w:eastAsia="Times New Roman" w:hAnsi="AcciusTCE-RegNar"/>
          <w:lang w:eastAsia="sk-SK"/>
        </w:rPr>
        <w:t>°C</w:t>
      </w:r>
    </w:p>
    <w:p w14:paraId="50DE19E4" w14:textId="77777777" w:rsidR="0074300E" w:rsidRPr="00414F42" w:rsidRDefault="0074300E" w:rsidP="0074300E">
      <w:pPr>
        <w:spacing w:after="0"/>
        <w:rPr>
          <w:rFonts w:ascii="AcciusTCE-RegNar" w:eastAsia="Times New Roman" w:hAnsi="AcciusTCE-RegNar"/>
          <w:color w:val="DA0000"/>
          <w:sz w:val="34"/>
          <w:szCs w:val="34"/>
          <w:lang w:eastAsia="sk-SK"/>
        </w:rPr>
      </w:pPr>
      <w:r w:rsidRPr="00414F42">
        <w:rPr>
          <w:rFonts w:ascii="AcciusTCE-RegNar" w:eastAsia="Times New Roman" w:hAnsi="AcciusTCE-RegNar"/>
          <w:color w:val="DA0000"/>
          <w:sz w:val="34"/>
          <w:szCs w:val="34"/>
          <w:lang w:eastAsia="sk-SK"/>
        </w:rPr>
        <w:t>Balenie</w:t>
      </w:r>
    </w:p>
    <w:p w14:paraId="739410F9" w14:textId="4D830636" w:rsidR="0074300E" w:rsidRPr="002D1647" w:rsidRDefault="0074300E" w:rsidP="0074300E">
      <w:pPr>
        <w:spacing w:after="0"/>
        <w:rPr>
          <w:rFonts w:ascii="AcciusTCE-RegNar" w:eastAsia="Times New Roman" w:hAnsi="AcciusTCE-RegNar"/>
          <w:lang w:eastAsia="sk-SK"/>
        </w:rPr>
      </w:pPr>
      <w:r w:rsidRPr="002D1647">
        <w:rPr>
          <w:rFonts w:ascii="AcciusTCE-RegNar" w:eastAsia="Times New Roman" w:hAnsi="AcciusTCE-RegNar"/>
          <w:lang w:eastAsia="sk-SK"/>
        </w:rPr>
        <w:t xml:space="preserve">0,7 l; </w:t>
      </w:r>
      <w:r w:rsidR="008E7C5A">
        <w:rPr>
          <w:rFonts w:ascii="AcciusTCE-RegNar" w:eastAsia="Times New Roman" w:hAnsi="AcciusTCE-RegNar"/>
          <w:lang w:eastAsia="sk-SK"/>
        </w:rPr>
        <w:t xml:space="preserve"> </w:t>
      </w:r>
      <w:r w:rsidRPr="002D1647">
        <w:rPr>
          <w:rFonts w:ascii="AcciusTCE-RegNar" w:eastAsia="Times New Roman" w:hAnsi="AcciusTCE-RegNar"/>
          <w:lang w:eastAsia="sk-SK"/>
        </w:rPr>
        <w:t xml:space="preserve">2,5 l </w:t>
      </w:r>
    </w:p>
    <w:p w14:paraId="125C15CC" w14:textId="77777777" w:rsidR="0074300E" w:rsidRPr="00414F42" w:rsidRDefault="0074300E" w:rsidP="0074300E">
      <w:pPr>
        <w:spacing w:after="0"/>
        <w:rPr>
          <w:rFonts w:ascii="AcciusTCE-RegNar" w:eastAsia="Times New Roman" w:hAnsi="AcciusTCE-RegNar"/>
          <w:color w:val="DA0000"/>
          <w:sz w:val="34"/>
          <w:szCs w:val="34"/>
          <w:lang w:eastAsia="sk-SK"/>
        </w:rPr>
      </w:pPr>
      <w:r w:rsidRPr="00414F42">
        <w:rPr>
          <w:rFonts w:ascii="AcciusTCE-RegNar" w:eastAsia="Times New Roman" w:hAnsi="AcciusTCE-RegNar"/>
          <w:color w:val="DA0000"/>
          <w:sz w:val="34"/>
          <w:szCs w:val="34"/>
          <w:lang w:eastAsia="sk-SK"/>
        </w:rPr>
        <w:t>Skladovanie</w:t>
      </w:r>
    </w:p>
    <w:p w14:paraId="71BCF7F7" w14:textId="56B180AC" w:rsidR="0074300E" w:rsidRPr="002D1647" w:rsidRDefault="0074300E" w:rsidP="0074300E">
      <w:pPr>
        <w:spacing w:after="0"/>
        <w:rPr>
          <w:rFonts w:ascii="AcciusTCE-RegNar" w:eastAsia="Times New Roman" w:hAnsi="AcciusTCE-RegNar"/>
          <w:lang w:eastAsia="sk-SK"/>
        </w:rPr>
      </w:pPr>
      <w:r w:rsidRPr="002D1647">
        <w:rPr>
          <w:rFonts w:ascii="AcciusTCE-RegNar" w:eastAsia="Times New Roman" w:hAnsi="AcciusTCE-RegNar"/>
          <w:lang w:eastAsia="sk-SK"/>
        </w:rPr>
        <w:t>Pri teplote +5 až +</w:t>
      </w:r>
      <w:r w:rsidR="00704BFE">
        <w:rPr>
          <w:rFonts w:ascii="AcciusTCE-RegNar" w:eastAsia="Times New Roman" w:hAnsi="AcciusTCE-RegNar"/>
          <w:lang w:eastAsia="sk-SK"/>
        </w:rPr>
        <w:t>30</w:t>
      </w:r>
      <w:r w:rsidRPr="002D1647">
        <w:rPr>
          <w:rFonts w:ascii="AcciusTCE-RegNar" w:eastAsia="Times New Roman" w:hAnsi="AcciusTCE-RegNar"/>
          <w:lang w:eastAsia="sk-SK"/>
        </w:rPr>
        <w:t xml:space="preserve"> °C </w:t>
      </w:r>
    </w:p>
    <w:p w14:paraId="7981BC28" w14:textId="77777777" w:rsidR="0074300E" w:rsidRPr="00414F42" w:rsidRDefault="0074300E" w:rsidP="0074300E">
      <w:pPr>
        <w:spacing w:after="0"/>
        <w:rPr>
          <w:rFonts w:ascii="AcciusTCE-RegNar" w:eastAsia="Times New Roman" w:hAnsi="AcciusTCE-RegNar"/>
          <w:color w:val="DA0000"/>
          <w:sz w:val="34"/>
          <w:szCs w:val="34"/>
          <w:lang w:eastAsia="sk-SK"/>
        </w:rPr>
      </w:pPr>
      <w:r w:rsidRPr="00414F42">
        <w:rPr>
          <w:rFonts w:ascii="AcciusTCE-RegNar" w:eastAsia="Times New Roman" w:hAnsi="AcciusTCE-RegNar"/>
          <w:color w:val="DA0000"/>
          <w:sz w:val="34"/>
          <w:szCs w:val="34"/>
          <w:lang w:eastAsia="sk-SK"/>
        </w:rPr>
        <w:t>Záručná doba</w:t>
      </w:r>
    </w:p>
    <w:p w14:paraId="011C4D6F" w14:textId="77777777" w:rsidR="0074300E" w:rsidRPr="002D1647" w:rsidRDefault="0074300E" w:rsidP="0074300E">
      <w:pPr>
        <w:spacing w:after="0"/>
        <w:rPr>
          <w:rFonts w:ascii="AcciusTCE-RegNar" w:eastAsia="Times New Roman" w:hAnsi="AcciusTCE-RegNar"/>
          <w:lang w:eastAsia="sk-SK"/>
        </w:rPr>
      </w:pPr>
      <w:r w:rsidRPr="002D1647">
        <w:rPr>
          <w:rFonts w:ascii="AcciusTCE-RegNar" w:eastAsia="Times New Roman" w:hAnsi="AcciusTCE-RegNar"/>
          <w:lang w:eastAsia="sk-SK"/>
        </w:rPr>
        <w:t>36 mesiacov od dátumu výroby</w:t>
      </w:r>
    </w:p>
    <w:p w14:paraId="35D35B64" w14:textId="77777777" w:rsidR="0074300E" w:rsidRPr="00414F42" w:rsidRDefault="0074300E" w:rsidP="0074300E">
      <w:pPr>
        <w:spacing w:after="0"/>
        <w:rPr>
          <w:rFonts w:ascii="AcciusTCE-RegNar" w:eastAsia="Times New Roman" w:hAnsi="AcciusTCE-RegNar"/>
          <w:color w:val="DA0000"/>
          <w:sz w:val="34"/>
          <w:szCs w:val="34"/>
          <w:lang w:eastAsia="sk-SK"/>
        </w:rPr>
      </w:pPr>
      <w:r w:rsidRPr="00414F42">
        <w:rPr>
          <w:rFonts w:ascii="AcciusTCE-RegNar" w:eastAsia="Times New Roman" w:hAnsi="AcciusTCE-RegNar"/>
          <w:color w:val="DA0000"/>
          <w:sz w:val="34"/>
          <w:szCs w:val="34"/>
          <w:lang w:eastAsia="sk-SK"/>
        </w:rPr>
        <w:t>Farebné odtiene</w:t>
      </w:r>
    </w:p>
    <w:p w14:paraId="0865CA6C" w14:textId="77777777" w:rsidR="0074300E" w:rsidRPr="002D1647" w:rsidRDefault="0074300E" w:rsidP="0074300E">
      <w:pPr>
        <w:spacing w:after="0"/>
        <w:rPr>
          <w:rFonts w:ascii="AcciusTCE-RegNar" w:eastAsia="Times New Roman" w:hAnsi="AcciusTCE-RegNar"/>
          <w:lang w:eastAsia="sk-SK"/>
        </w:rPr>
      </w:pPr>
      <w:r w:rsidRPr="002D1647">
        <w:rPr>
          <w:rFonts w:ascii="AcciusTCE-RegNar" w:eastAsia="Times New Roman" w:hAnsi="AcciusTCE-RegNar"/>
          <w:lang w:eastAsia="sk-SK"/>
        </w:rPr>
        <w:t>bezfarebný</w:t>
      </w:r>
    </w:p>
    <w:p w14:paraId="44134DED" w14:textId="77777777" w:rsidR="0074300E" w:rsidRDefault="0074300E" w:rsidP="0074300E"/>
    <w:p w14:paraId="54017E6F" w14:textId="77777777" w:rsidR="00BC4E41" w:rsidRDefault="00BC4E41">
      <w:bookmarkStart w:id="0" w:name="_GoBack"/>
      <w:bookmarkEnd w:id="0"/>
    </w:p>
    <w:sectPr w:rsidR="00BC4E41" w:rsidSect="006858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7D6FF" w14:textId="77777777" w:rsidR="008147EC" w:rsidRDefault="008147EC">
      <w:pPr>
        <w:spacing w:after="0" w:line="240" w:lineRule="auto"/>
      </w:pPr>
      <w:r>
        <w:separator/>
      </w:r>
    </w:p>
  </w:endnote>
  <w:endnote w:type="continuationSeparator" w:id="0">
    <w:p w14:paraId="1ACF7F1C" w14:textId="77777777" w:rsidR="008147EC" w:rsidRDefault="0081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olioTCE-M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cciusTCE-RegN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C1BAC" w14:textId="77777777" w:rsidR="003E44DC" w:rsidRPr="00BD204A" w:rsidRDefault="0074300E" w:rsidP="003E44DC">
    <w:pPr>
      <w:pStyle w:val="Pta"/>
      <w:jc w:val="center"/>
      <w:rPr>
        <w:sz w:val="18"/>
        <w:szCs w:val="18"/>
      </w:rPr>
    </w:pPr>
    <w:r w:rsidRPr="00BD204A">
      <w:rPr>
        <w:sz w:val="18"/>
        <w:szCs w:val="18"/>
      </w:rPr>
      <w:t xml:space="preserve">SLOVLAK Košeca, </w:t>
    </w:r>
    <w:proofErr w:type="spellStart"/>
    <w:r w:rsidRPr="00BD204A">
      <w:rPr>
        <w:sz w:val="18"/>
        <w:szCs w:val="18"/>
      </w:rPr>
      <w:t>a.s</w:t>
    </w:r>
    <w:proofErr w:type="spellEnd"/>
    <w:r w:rsidRPr="00BD204A">
      <w:rPr>
        <w:sz w:val="18"/>
        <w:szCs w:val="18"/>
      </w:rPr>
      <w:t>.</w:t>
    </w:r>
  </w:p>
  <w:p w14:paraId="3C7E5F24" w14:textId="77777777" w:rsidR="003E44DC" w:rsidRDefault="0074300E" w:rsidP="003E44DC">
    <w:pPr>
      <w:pStyle w:val="Pta"/>
      <w:jc w:val="center"/>
      <w:rPr>
        <w:sz w:val="18"/>
        <w:szCs w:val="18"/>
      </w:rPr>
    </w:pPr>
    <w:r w:rsidRPr="00BD204A">
      <w:rPr>
        <w:sz w:val="18"/>
        <w:szCs w:val="18"/>
      </w:rPr>
      <w:t xml:space="preserve">Továrenská 545, 018 64 Košeca, </w:t>
    </w:r>
  </w:p>
  <w:p w14:paraId="5714B0C2" w14:textId="77777777" w:rsidR="003E44DC" w:rsidRDefault="0074300E" w:rsidP="003E44DC">
    <w:pPr>
      <w:pStyle w:val="Pta"/>
      <w:jc w:val="center"/>
      <w:rPr>
        <w:sz w:val="18"/>
        <w:szCs w:val="18"/>
      </w:rPr>
    </w:pPr>
    <w:r w:rsidRPr="00BD204A">
      <w:rPr>
        <w:sz w:val="18"/>
        <w:szCs w:val="18"/>
      </w:rPr>
      <w:t>tel.:+421 (0)42 44 55 151,4; fax:+421 (0)42 44 68</w:t>
    </w:r>
    <w:r>
      <w:rPr>
        <w:sz w:val="18"/>
        <w:szCs w:val="18"/>
      </w:rPr>
      <w:t> </w:t>
    </w:r>
    <w:r w:rsidRPr="00BD204A">
      <w:rPr>
        <w:sz w:val="18"/>
        <w:szCs w:val="18"/>
      </w:rPr>
      <w:t>234</w:t>
    </w:r>
  </w:p>
  <w:p w14:paraId="4FCDE3A8" w14:textId="77777777" w:rsidR="003E44DC" w:rsidRDefault="0074300E" w:rsidP="003E44DC">
    <w:pPr>
      <w:pStyle w:val="Pta"/>
      <w:jc w:val="center"/>
      <w:rPr>
        <w:sz w:val="18"/>
        <w:szCs w:val="18"/>
      </w:rPr>
    </w:pPr>
    <w:r w:rsidRPr="007427B0">
      <w:rPr>
        <w:sz w:val="18"/>
        <w:szCs w:val="18"/>
      </w:rPr>
      <w:t>www.slovlak.sk</w:t>
    </w:r>
  </w:p>
  <w:p w14:paraId="28A3946D" w14:textId="77777777" w:rsidR="003E44DC" w:rsidRPr="00BD204A" w:rsidRDefault="0074300E" w:rsidP="003E44DC">
    <w:pPr>
      <w:pStyle w:val="Pta"/>
      <w:jc w:val="center"/>
      <w:rPr>
        <w:sz w:val="18"/>
        <w:szCs w:val="18"/>
      </w:rPr>
    </w:pPr>
    <w:r>
      <w:rPr>
        <w:sz w:val="18"/>
        <w:szCs w:val="18"/>
      </w:rPr>
      <w:t>slovlak@slovlak.sk</w:t>
    </w:r>
  </w:p>
  <w:p w14:paraId="2681DEC2" w14:textId="77777777" w:rsidR="008C7760" w:rsidRPr="003E44DC" w:rsidRDefault="008147EC" w:rsidP="003E44DC">
    <w:pPr>
      <w:pStyle w:val="Pta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9E4CC" w14:textId="77777777" w:rsidR="008147EC" w:rsidRDefault="008147EC">
      <w:pPr>
        <w:spacing w:after="0" w:line="240" w:lineRule="auto"/>
      </w:pPr>
      <w:r>
        <w:separator/>
      </w:r>
    </w:p>
  </w:footnote>
  <w:footnote w:type="continuationSeparator" w:id="0">
    <w:p w14:paraId="47FA965C" w14:textId="77777777" w:rsidR="008147EC" w:rsidRDefault="0081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EBE53" w14:textId="0B22836D" w:rsidR="008C7760" w:rsidRDefault="0074300E" w:rsidP="008C7760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33A15BE2" wp14:editId="4A507197">
          <wp:extent cx="1666875" cy="1066800"/>
          <wp:effectExtent l="0" t="0" r="9525" b="0"/>
          <wp:docPr id="1" name="Obrázok 1" descr="logo_slovlak_color-zmense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lovlak_color-zmense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BB"/>
    <w:rsid w:val="00023B8C"/>
    <w:rsid w:val="000B601E"/>
    <w:rsid w:val="00224A93"/>
    <w:rsid w:val="003F6F2D"/>
    <w:rsid w:val="005B67BB"/>
    <w:rsid w:val="00621488"/>
    <w:rsid w:val="00704BFE"/>
    <w:rsid w:val="0074300E"/>
    <w:rsid w:val="008147EC"/>
    <w:rsid w:val="008E7C5A"/>
    <w:rsid w:val="009B1E49"/>
    <w:rsid w:val="00BC4E41"/>
    <w:rsid w:val="00BF0FA3"/>
    <w:rsid w:val="00C862C7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C4BA"/>
  <w15:chartTrackingRefBased/>
  <w15:docId w15:val="{6ADD940C-069B-4AB8-81C8-1D5DCDCF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430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74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4300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74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300E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4A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Tomanicová</dc:creator>
  <cp:keywords/>
  <dc:description/>
  <cp:lastModifiedBy>Darina Tomanicová</cp:lastModifiedBy>
  <cp:revision>13</cp:revision>
  <dcterms:created xsi:type="dcterms:W3CDTF">2018-09-26T05:43:00Z</dcterms:created>
  <dcterms:modified xsi:type="dcterms:W3CDTF">2019-03-11T11:14:00Z</dcterms:modified>
</cp:coreProperties>
</file>