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6872" w14:textId="17CA06E4" w:rsidR="0074300E" w:rsidRPr="00224A93" w:rsidRDefault="0074300E" w:rsidP="0074300E">
      <w:pPr>
        <w:spacing w:after="0"/>
        <w:rPr>
          <w:rFonts w:ascii="FolioTCE-Med" w:eastAsia="Times New Roman" w:hAnsi="FolioTCE-Med"/>
          <w:sz w:val="60"/>
          <w:szCs w:val="60"/>
          <w:lang w:eastAsia="sk-SK"/>
        </w:rPr>
      </w:pPr>
      <w:r w:rsidRPr="002D1647">
        <w:rPr>
          <w:rFonts w:ascii="FolioTCE-Med" w:eastAsia="Times New Roman" w:hAnsi="FolioTCE-Med"/>
          <w:sz w:val="60"/>
          <w:szCs w:val="60"/>
          <w:lang w:eastAsia="sk-SK"/>
        </w:rPr>
        <w:t xml:space="preserve">Granit </w:t>
      </w:r>
      <w:r w:rsidR="00BF0FA3">
        <w:rPr>
          <w:rFonts w:ascii="FolioTCE-Med" w:eastAsia="Times New Roman" w:hAnsi="FolioTCE-Med"/>
          <w:sz w:val="60"/>
          <w:szCs w:val="60"/>
          <w:lang w:eastAsia="sk-SK"/>
        </w:rPr>
        <w:t>+</w:t>
      </w:r>
    </w:p>
    <w:p w14:paraId="290FD620" w14:textId="77777777" w:rsidR="0074300E" w:rsidRDefault="0074300E" w:rsidP="007430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cciusTCE-RegNar" w:hAnsi="AcciusTCE-RegNar"/>
          <w:color w:val="DA0000"/>
          <w:sz w:val="34"/>
          <w:szCs w:val="34"/>
        </w:rPr>
        <w:t>Charakteristika</w:t>
      </w:r>
    </w:p>
    <w:p w14:paraId="5F965500" w14:textId="5AA5570D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 xml:space="preserve">Lak na kameň je vysoko kvalitný bezfarebný lak vhodný na ošetrenie prírodného (žula, bridlica, vápenec, ...) a umelého kameňa alebo taktiež na umelé stavebné materiály ako tehly, betón, dekoratívne sadrové doplnky, atď. Na povrchu vytvára hladkú lesklú </w:t>
      </w:r>
      <w:r w:rsidR="000B601E">
        <w:rPr>
          <w:rFonts w:ascii="AcciusTCE-RegNar" w:eastAsia="Times New Roman" w:hAnsi="AcciusTCE-RegNar"/>
          <w:lang w:eastAsia="sk-SK"/>
        </w:rPr>
        <w:t>alebo matnú v</w:t>
      </w:r>
      <w:r w:rsidRPr="002D1647">
        <w:rPr>
          <w:rFonts w:ascii="AcciusTCE-RegNar" w:eastAsia="Times New Roman" w:hAnsi="AcciusTCE-RegNar"/>
          <w:lang w:eastAsia="sk-SK"/>
        </w:rPr>
        <w:t xml:space="preserve">rstvu, ktorá zabezpečuje dlhodobú ochranu pred nepriaznivými poveternostnými vplyvmi. Vytvára mokrý </w:t>
      </w:r>
      <w:r w:rsidR="000B601E">
        <w:rPr>
          <w:rFonts w:ascii="AcciusTCE-RegNar" w:eastAsia="Times New Roman" w:hAnsi="AcciusTCE-RegNar"/>
          <w:lang w:eastAsia="sk-SK"/>
        </w:rPr>
        <w:t>vzhľad.</w:t>
      </w:r>
      <w:r w:rsidRPr="002D1647">
        <w:rPr>
          <w:rFonts w:ascii="AcciusTCE-RegNar" w:eastAsia="Times New Roman" w:hAnsi="AcciusTCE-RegNar"/>
          <w:lang w:eastAsia="sk-SK"/>
        </w:rPr>
        <w:t xml:space="preserve"> Obsahuje UV filter.</w:t>
      </w:r>
    </w:p>
    <w:p w14:paraId="2547D6DD" w14:textId="77777777" w:rsidR="0074300E" w:rsidRPr="00A84D1F" w:rsidRDefault="0074300E" w:rsidP="007430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4F42"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  <w:t>Použitie</w:t>
      </w:r>
    </w:p>
    <w:p w14:paraId="500AAB69" w14:textId="77777777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>Granit – lak na kameň sa používa na vnútorné a vonkajšie nátery prírodného a umelého kameňa.</w:t>
      </w:r>
    </w:p>
    <w:p w14:paraId="445EADCA" w14:textId="77777777" w:rsidR="0074300E" w:rsidRPr="00414F42" w:rsidRDefault="0074300E" w:rsidP="0074300E">
      <w:pPr>
        <w:spacing w:after="0"/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</w:pPr>
      <w:r w:rsidRPr="00414F42"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  <w:t>Návod na použitie</w:t>
      </w:r>
    </w:p>
    <w:p w14:paraId="7F3E05A1" w14:textId="04A7E831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 xml:space="preserve">Všetky podklady musia byť čisté, suché, obrúsené a odmastené. Pred použitím obsah obalu dôkladne rozmiešajte. Nanáša sa v dvoch alebo viacerých vrstvách v závislosti od nasiakavosti podkladu a pôsobenia poveternostných podmienok. Ďalšiu vrstvu odporúčame naniesť po </w:t>
      </w:r>
      <w:r w:rsidR="00C862C7">
        <w:rPr>
          <w:rFonts w:ascii="AcciusTCE-RegNar" w:eastAsia="Times New Roman" w:hAnsi="AcciusTCE-RegNar"/>
          <w:lang w:eastAsia="sk-SK"/>
        </w:rPr>
        <w:t>4</w:t>
      </w:r>
      <w:r w:rsidRPr="002D1647">
        <w:rPr>
          <w:rFonts w:ascii="AcciusTCE-RegNar" w:eastAsia="Times New Roman" w:hAnsi="AcciusTCE-RegNar"/>
          <w:lang w:eastAsia="sk-SK"/>
        </w:rPr>
        <w:t xml:space="preserve"> hodinách. Nízka teplota a vysoká relatívna vlhkosť spomaľujú zasychanie. Teplota podkladu a prostredia nesmie klesnúť pod +</w:t>
      </w:r>
      <w:r w:rsidR="000B601E">
        <w:rPr>
          <w:rFonts w:ascii="AcciusTCE-RegNar" w:eastAsia="Times New Roman" w:hAnsi="AcciusTCE-RegNar"/>
          <w:lang w:eastAsia="sk-SK"/>
        </w:rPr>
        <w:t>5</w:t>
      </w:r>
      <w:r w:rsidRPr="002D1647">
        <w:rPr>
          <w:rFonts w:ascii="AcciusTCE-RegNar" w:eastAsia="Times New Roman" w:hAnsi="AcciusTCE-RegNar"/>
          <w:lang w:eastAsia="sk-SK"/>
        </w:rPr>
        <w:t xml:space="preserve"> °C.</w:t>
      </w:r>
    </w:p>
    <w:p w14:paraId="096AFD3C" w14:textId="3A76CF17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 xml:space="preserve">Pracovné pomôcky a náradie odporúčame očistiť riedidlom </w:t>
      </w:r>
      <w:r w:rsidR="008E7C5A">
        <w:rPr>
          <w:rFonts w:ascii="AcciusTCE-RegNar" w:eastAsia="Times New Roman" w:hAnsi="AcciusTCE-RegNar"/>
          <w:lang w:eastAsia="sk-SK"/>
        </w:rPr>
        <w:t>C 6000</w:t>
      </w:r>
      <w:r w:rsidRPr="002D1647">
        <w:rPr>
          <w:rFonts w:ascii="AcciusTCE-RegNar" w:eastAsia="Times New Roman" w:hAnsi="AcciusTCE-RegNar"/>
          <w:lang w:eastAsia="sk-SK"/>
        </w:rPr>
        <w:t>.</w:t>
      </w:r>
    </w:p>
    <w:p w14:paraId="68819121" w14:textId="77777777" w:rsidR="0074300E" w:rsidRPr="00414F42" w:rsidRDefault="0074300E" w:rsidP="0074300E">
      <w:pPr>
        <w:spacing w:after="0"/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</w:pPr>
      <w:r w:rsidRPr="00414F42"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  <w:t>Nanášanie</w:t>
      </w:r>
    </w:p>
    <w:p w14:paraId="4DA990E1" w14:textId="77777777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>štetcom, valčekom, striekaním</w:t>
      </w:r>
    </w:p>
    <w:p w14:paraId="7D27E52C" w14:textId="77777777" w:rsidR="0074300E" w:rsidRPr="00414F42" w:rsidRDefault="0074300E" w:rsidP="0074300E">
      <w:pPr>
        <w:spacing w:after="0"/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</w:pPr>
      <w:r w:rsidRPr="00414F42"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  <w:t>Výdatnosť</w:t>
      </w:r>
    </w:p>
    <w:p w14:paraId="7E8FB63A" w14:textId="77777777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>10 až 13 m</w:t>
      </w:r>
      <w:r w:rsidRPr="002D1647">
        <w:rPr>
          <w:rFonts w:ascii="AcciusTCE-RegNar" w:eastAsia="Times New Roman" w:hAnsi="AcciusTCE-RegNar"/>
          <w:vertAlign w:val="superscript"/>
          <w:lang w:eastAsia="sk-SK"/>
        </w:rPr>
        <w:t>2</w:t>
      </w:r>
      <w:r>
        <w:rPr>
          <w:rFonts w:ascii="AcciusTCE-RegNar" w:eastAsia="Times New Roman" w:hAnsi="AcciusTCE-RegNar"/>
          <w:lang w:eastAsia="sk-SK"/>
        </w:rPr>
        <w:t>/l</w:t>
      </w:r>
      <w:r w:rsidRPr="002D1647">
        <w:rPr>
          <w:rFonts w:ascii="AcciusTCE-RegNar" w:eastAsia="Times New Roman" w:hAnsi="AcciusTCE-RegNar"/>
          <w:lang w:eastAsia="sk-SK"/>
        </w:rPr>
        <w:t xml:space="preserve"> </w:t>
      </w:r>
    </w:p>
    <w:p w14:paraId="6A4EC8FA" w14:textId="77777777" w:rsidR="0074300E" w:rsidRPr="00414F42" w:rsidRDefault="0074300E" w:rsidP="0074300E">
      <w:pPr>
        <w:spacing w:after="0"/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</w:pPr>
      <w:r w:rsidRPr="00414F42"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  <w:t>Zasychanie</w:t>
      </w:r>
    </w:p>
    <w:p w14:paraId="6B810D0A" w14:textId="67D41052" w:rsidR="0074300E" w:rsidRPr="002D1647" w:rsidRDefault="000B601E" w:rsidP="0074300E">
      <w:pPr>
        <w:spacing w:after="0"/>
        <w:rPr>
          <w:rFonts w:ascii="AcciusTCE-RegNar" w:eastAsia="Times New Roman" w:hAnsi="AcciusTCE-RegNar"/>
          <w:lang w:eastAsia="sk-SK"/>
        </w:rPr>
      </w:pPr>
      <w:r>
        <w:rPr>
          <w:rFonts w:ascii="AcciusTCE-RegNar" w:eastAsia="Times New Roman" w:hAnsi="AcciusTCE-RegNar"/>
          <w:lang w:eastAsia="sk-SK"/>
        </w:rPr>
        <w:t xml:space="preserve">Do 4 </w:t>
      </w:r>
      <w:r w:rsidR="0074300E" w:rsidRPr="002D1647">
        <w:rPr>
          <w:rFonts w:ascii="AcciusTCE-RegNar" w:eastAsia="Times New Roman" w:hAnsi="AcciusTCE-RegNar"/>
          <w:lang w:eastAsia="sk-SK"/>
        </w:rPr>
        <w:t xml:space="preserve"> hodín</w:t>
      </w:r>
      <w:r w:rsidR="0074300E">
        <w:rPr>
          <w:rFonts w:ascii="AcciusTCE-RegNar" w:eastAsia="Times New Roman" w:hAnsi="AcciusTCE-RegNar"/>
          <w:lang w:eastAsia="sk-SK"/>
        </w:rPr>
        <w:t xml:space="preserve"> pri teplote 2</w:t>
      </w:r>
      <w:r w:rsidR="008E7C5A">
        <w:rPr>
          <w:rFonts w:ascii="AcciusTCE-RegNar" w:eastAsia="Times New Roman" w:hAnsi="AcciusTCE-RegNar"/>
          <w:lang w:eastAsia="sk-SK"/>
        </w:rPr>
        <w:t>3</w:t>
      </w:r>
      <w:r w:rsidR="0074300E">
        <w:rPr>
          <w:rFonts w:ascii="AcciusTCE-RegNar" w:eastAsia="Times New Roman" w:hAnsi="AcciusTCE-RegNar"/>
          <w:lang w:eastAsia="sk-SK"/>
        </w:rPr>
        <w:t>°C</w:t>
      </w:r>
    </w:p>
    <w:p w14:paraId="50DE19E4" w14:textId="77777777" w:rsidR="0074300E" w:rsidRPr="00414F42" w:rsidRDefault="0074300E" w:rsidP="0074300E">
      <w:pPr>
        <w:spacing w:after="0"/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</w:pPr>
      <w:r w:rsidRPr="00414F42"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  <w:t>Balenie</w:t>
      </w:r>
    </w:p>
    <w:p w14:paraId="739410F9" w14:textId="4D830636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 xml:space="preserve">0,7 l; </w:t>
      </w:r>
      <w:r w:rsidR="008E7C5A">
        <w:rPr>
          <w:rFonts w:ascii="AcciusTCE-RegNar" w:eastAsia="Times New Roman" w:hAnsi="AcciusTCE-RegNar"/>
          <w:lang w:eastAsia="sk-SK"/>
        </w:rPr>
        <w:t xml:space="preserve"> </w:t>
      </w:r>
      <w:r w:rsidRPr="002D1647">
        <w:rPr>
          <w:rFonts w:ascii="AcciusTCE-RegNar" w:eastAsia="Times New Roman" w:hAnsi="AcciusTCE-RegNar"/>
          <w:lang w:eastAsia="sk-SK"/>
        </w:rPr>
        <w:t xml:space="preserve">2,5 l </w:t>
      </w:r>
    </w:p>
    <w:p w14:paraId="125C15CC" w14:textId="77777777" w:rsidR="0074300E" w:rsidRPr="00414F42" w:rsidRDefault="0074300E" w:rsidP="0074300E">
      <w:pPr>
        <w:spacing w:after="0"/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</w:pPr>
      <w:r w:rsidRPr="00414F42"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  <w:t>Skladovanie</w:t>
      </w:r>
    </w:p>
    <w:p w14:paraId="71BCF7F7" w14:textId="56B180AC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>Pri teplote +5 až +</w:t>
      </w:r>
      <w:r w:rsidR="00704BFE">
        <w:rPr>
          <w:rFonts w:ascii="AcciusTCE-RegNar" w:eastAsia="Times New Roman" w:hAnsi="AcciusTCE-RegNar"/>
          <w:lang w:eastAsia="sk-SK"/>
        </w:rPr>
        <w:t>30</w:t>
      </w:r>
      <w:r w:rsidRPr="002D1647">
        <w:rPr>
          <w:rFonts w:ascii="AcciusTCE-RegNar" w:eastAsia="Times New Roman" w:hAnsi="AcciusTCE-RegNar"/>
          <w:lang w:eastAsia="sk-SK"/>
        </w:rPr>
        <w:t xml:space="preserve"> °C </w:t>
      </w:r>
    </w:p>
    <w:p w14:paraId="7981BC28" w14:textId="77777777" w:rsidR="0074300E" w:rsidRPr="00414F42" w:rsidRDefault="0074300E" w:rsidP="0074300E">
      <w:pPr>
        <w:spacing w:after="0"/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</w:pPr>
      <w:r w:rsidRPr="00414F42"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  <w:t>Záručná doba</w:t>
      </w:r>
    </w:p>
    <w:p w14:paraId="011C4D6F" w14:textId="77777777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>36 mesiacov od dátumu výroby</w:t>
      </w:r>
    </w:p>
    <w:p w14:paraId="35D35B64" w14:textId="77777777" w:rsidR="0074300E" w:rsidRPr="00414F42" w:rsidRDefault="0074300E" w:rsidP="0074300E">
      <w:pPr>
        <w:spacing w:after="0"/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</w:pPr>
      <w:r w:rsidRPr="00414F42">
        <w:rPr>
          <w:rFonts w:ascii="AcciusTCE-RegNar" w:eastAsia="Times New Roman" w:hAnsi="AcciusTCE-RegNar"/>
          <w:color w:val="DA0000"/>
          <w:sz w:val="34"/>
          <w:szCs w:val="34"/>
          <w:lang w:eastAsia="sk-SK"/>
        </w:rPr>
        <w:t>Farebné odtiene</w:t>
      </w:r>
    </w:p>
    <w:p w14:paraId="0865CA6C" w14:textId="77777777" w:rsidR="0074300E" w:rsidRPr="002D1647" w:rsidRDefault="0074300E" w:rsidP="0074300E">
      <w:pPr>
        <w:spacing w:after="0"/>
        <w:rPr>
          <w:rFonts w:ascii="AcciusTCE-RegNar" w:eastAsia="Times New Roman" w:hAnsi="AcciusTCE-RegNar"/>
          <w:lang w:eastAsia="sk-SK"/>
        </w:rPr>
      </w:pPr>
      <w:r w:rsidRPr="002D1647">
        <w:rPr>
          <w:rFonts w:ascii="AcciusTCE-RegNar" w:eastAsia="Times New Roman" w:hAnsi="AcciusTCE-RegNar"/>
          <w:lang w:eastAsia="sk-SK"/>
        </w:rPr>
        <w:t>bezfarebný</w:t>
      </w:r>
    </w:p>
    <w:p w14:paraId="44134DED" w14:textId="77777777" w:rsidR="0074300E" w:rsidRDefault="0074300E" w:rsidP="0074300E"/>
    <w:p w14:paraId="54017E6F" w14:textId="77777777" w:rsidR="00BC4E41" w:rsidRDefault="00BC4E41">
      <w:bookmarkStart w:id="0" w:name="_GoBack"/>
      <w:bookmarkEnd w:id="0"/>
    </w:p>
    <w:sectPr w:rsidR="00BC4E41" w:rsidSect="006858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D6FF" w14:textId="77777777" w:rsidR="008147EC" w:rsidRDefault="008147EC">
      <w:pPr>
        <w:spacing w:after="0" w:line="240" w:lineRule="auto"/>
      </w:pPr>
      <w:r>
        <w:separator/>
      </w:r>
    </w:p>
  </w:endnote>
  <w:endnote w:type="continuationSeparator" w:id="0">
    <w:p w14:paraId="1ACF7F1C" w14:textId="77777777" w:rsidR="008147EC" w:rsidRDefault="0081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olioTCE-M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ciusTCE-RegN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1BAC" w14:textId="77777777" w:rsidR="003E44DC" w:rsidRPr="00BD204A" w:rsidRDefault="0074300E" w:rsidP="003E44DC">
    <w:pPr>
      <w:pStyle w:val="Pta"/>
      <w:jc w:val="center"/>
      <w:rPr>
        <w:sz w:val="18"/>
        <w:szCs w:val="18"/>
      </w:rPr>
    </w:pPr>
    <w:r w:rsidRPr="00BD204A">
      <w:rPr>
        <w:sz w:val="18"/>
        <w:szCs w:val="18"/>
      </w:rPr>
      <w:t xml:space="preserve">SLOVLAK Košeca, </w:t>
    </w:r>
    <w:proofErr w:type="spellStart"/>
    <w:r w:rsidRPr="00BD204A">
      <w:rPr>
        <w:sz w:val="18"/>
        <w:szCs w:val="18"/>
      </w:rPr>
      <w:t>a.s</w:t>
    </w:r>
    <w:proofErr w:type="spellEnd"/>
    <w:r w:rsidRPr="00BD204A">
      <w:rPr>
        <w:sz w:val="18"/>
        <w:szCs w:val="18"/>
      </w:rPr>
      <w:t>.</w:t>
    </w:r>
  </w:p>
  <w:p w14:paraId="3C7E5F24" w14:textId="77777777" w:rsidR="003E44DC" w:rsidRDefault="0074300E" w:rsidP="003E44DC">
    <w:pPr>
      <w:pStyle w:val="Pta"/>
      <w:jc w:val="center"/>
      <w:rPr>
        <w:sz w:val="18"/>
        <w:szCs w:val="18"/>
      </w:rPr>
    </w:pPr>
    <w:r w:rsidRPr="00BD204A">
      <w:rPr>
        <w:sz w:val="18"/>
        <w:szCs w:val="18"/>
      </w:rPr>
      <w:t xml:space="preserve">Továrenská 545, 018 64 Košeca, </w:t>
    </w:r>
  </w:p>
  <w:p w14:paraId="5714B0C2" w14:textId="77777777" w:rsidR="003E44DC" w:rsidRDefault="0074300E" w:rsidP="003E44DC">
    <w:pPr>
      <w:pStyle w:val="Pta"/>
      <w:jc w:val="center"/>
      <w:rPr>
        <w:sz w:val="18"/>
        <w:szCs w:val="18"/>
      </w:rPr>
    </w:pPr>
    <w:r w:rsidRPr="00BD204A">
      <w:rPr>
        <w:sz w:val="18"/>
        <w:szCs w:val="18"/>
      </w:rPr>
      <w:t>tel.:+421 (0)42 44 55 151,4; fax:+421 (0)42 44 68</w:t>
    </w:r>
    <w:r>
      <w:rPr>
        <w:sz w:val="18"/>
        <w:szCs w:val="18"/>
      </w:rPr>
      <w:t> </w:t>
    </w:r>
    <w:r w:rsidRPr="00BD204A">
      <w:rPr>
        <w:sz w:val="18"/>
        <w:szCs w:val="18"/>
      </w:rPr>
      <w:t>234</w:t>
    </w:r>
  </w:p>
  <w:p w14:paraId="4FCDE3A8" w14:textId="77777777" w:rsidR="003E44DC" w:rsidRDefault="0074300E" w:rsidP="003E44DC">
    <w:pPr>
      <w:pStyle w:val="Pta"/>
      <w:jc w:val="center"/>
      <w:rPr>
        <w:sz w:val="18"/>
        <w:szCs w:val="18"/>
      </w:rPr>
    </w:pPr>
    <w:r w:rsidRPr="007427B0">
      <w:rPr>
        <w:sz w:val="18"/>
        <w:szCs w:val="18"/>
      </w:rPr>
      <w:t>www.slovlak.sk</w:t>
    </w:r>
  </w:p>
  <w:p w14:paraId="28A3946D" w14:textId="77777777" w:rsidR="003E44DC" w:rsidRPr="00BD204A" w:rsidRDefault="0074300E" w:rsidP="003E44DC">
    <w:pPr>
      <w:pStyle w:val="Pta"/>
      <w:jc w:val="center"/>
      <w:rPr>
        <w:sz w:val="18"/>
        <w:szCs w:val="18"/>
      </w:rPr>
    </w:pPr>
    <w:r>
      <w:rPr>
        <w:sz w:val="18"/>
        <w:szCs w:val="18"/>
      </w:rPr>
      <w:t>slovlak@slovlak.sk</w:t>
    </w:r>
  </w:p>
  <w:p w14:paraId="2681DEC2" w14:textId="77777777" w:rsidR="008C7760" w:rsidRPr="003E44DC" w:rsidRDefault="008147EC" w:rsidP="003E44DC">
    <w:pPr>
      <w:pStyle w:val="Pt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E4CC" w14:textId="77777777" w:rsidR="008147EC" w:rsidRDefault="008147EC">
      <w:pPr>
        <w:spacing w:after="0" w:line="240" w:lineRule="auto"/>
      </w:pPr>
      <w:r>
        <w:separator/>
      </w:r>
    </w:p>
  </w:footnote>
  <w:footnote w:type="continuationSeparator" w:id="0">
    <w:p w14:paraId="47FA965C" w14:textId="77777777" w:rsidR="008147EC" w:rsidRDefault="0081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BE53" w14:textId="0B22836D" w:rsidR="008C7760" w:rsidRDefault="0074300E" w:rsidP="008C776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33A15BE2" wp14:editId="4A507197">
          <wp:extent cx="1666875" cy="1066800"/>
          <wp:effectExtent l="0" t="0" r="9525" b="0"/>
          <wp:docPr id="1" name="Obrázok 1" descr="logo_slovlak_color-zmens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lovlak_color-zmens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BB"/>
    <w:rsid w:val="00023B8C"/>
    <w:rsid w:val="000B601E"/>
    <w:rsid w:val="00224A93"/>
    <w:rsid w:val="003F6F2D"/>
    <w:rsid w:val="005B67BB"/>
    <w:rsid w:val="00621488"/>
    <w:rsid w:val="00704BFE"/>
    <w:rsid w:val="0074300E"/>
    <w:rsid w:val="008147EC"/>
    <w:rsid w:val="008E7C5A"/>
    <w:rsid w:val="009B1E49"/>
    <w:rsid w:val="00BC4E41"/>
    <w:rsid w:val="00BF0FA3"/>
    <w:rsid w:val="00C862C7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C4BA"/>
  <w15:chartTrackingRefBased/>
  <w15:docId w15:val="{6ADD940C-069B-4AB8-81C8-1D5DCDC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430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4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300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4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300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4A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Tomanicová</dc:creator>
  <cp:keywords/>
  <dc:description/>
  <cp:lastModifiedBy>Darina Tomanicová</cp:lastModifiedBy>
  <cp:revision>13</cp:revision>
  <dcterms:created xsi:type="dcterms:W3CDTF">2018-09-26T05:43:00Z</dcterms:created>
  <dcterms:modified xsi:type="dcterms:W3CDTF">2019-03-11T11:14:00Z</dcterms:modified>
</cp:coreProperties>
</file>